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309" w14:textId="4B7B73BD" w:rsidR="00493B4D" w:rsidRPr="00EC5250" w:rsidRDefault="00493B4D" w:rsidP="00493B4D">
      <w:pPr>
        <w:pStyle w:val="BodyText"/>
      </w:pPr>
      <w:r w:rsidRPr="00EC5250">
        <w:t>.</w:t>
      </w:r>
    </w:p>
    <w:p w14:paraId="505B6D25" w14:textId="77777777" w:rsidR="00493B4D" w:rsidRDefault="00493B4D" w:rsidP="00493B4D">
      <w:pPr>
        <w:pStyle w:val="BodyText"/>
        <w:sectPr w:rsidR="00493B4D" w:rsidSect="00493B4D">
          <w:pgSz w:w="11906" w:h="16838" w:code="9"/>
          <w:pgMar w:top="1134" w:right="851" w:bottom="851" w:left="1418" w:header="567" w:footer="567" w:gutter="0"/>
          <w:cols w:space="708"/>
          <w:docGrid w:linePitch="360"/>
        </w:sectPr>
      </w:pPr>
    </w:p>
    <w:p w14:paraId="5E770C37" w14:textId="390E1A44" w:rsidR="00493B4D" w:rsidRPr="00493B4D" w:rsidRDefault="00493B4D" w:rsidP="00493B4D">
      <w:pPr>
        <w:pStyle w:val="BodyText"/>
        <w:rPr>
          <w:b/>
          <w:bCs/>
        </w:rPr>
      </w:pPr>
      <w:r w:rsidRPr="00493B4D">
        <w:rPr>
          <w:b/>
          <w:bCs/>
        </w:rPr>
        <w:lastRenderedPageBreak/>
        <w:t>Ülevaade</w:t>
      </w:r>
      <w:r w:rsidRPr="00493B4D">
        <w:rPr>
          <w:b/>
          <w:bCs/>
        </w:rPr>
        <w:t xml:space="preserve"> programmi eelnõu kohta esitatud </w:t>
      </w:r>
      <w:r w:rsidRPr="00493B4D">
        <w:rPr>
          <w:b/>
          <w:bCs/>
        </w:rPr>
        <w:t xml:space="preserve">ettepanekutest ja nende arvestamisest </w:t>
      </w:r>
    </w:p>
    <w:tbl>
      <w:tblPr>
        <w:tblStyle w:val="TabelPunane7"/>
        <w:tblW w:w="4999" w:type="pct"/>
        <w:tblLook w:val="04A0" w:firstRow="1" w:lastRow="0" w:firstColumn="1" w:lastColumn="0" w:noHBand="0" w:noVBand="1"/>
      </w:tblPr>
      <w:tblGrid>
        <w:gridCol w:w="6801"/>
        <w:gridCol w:w="6153"/>
      </w:tblGrid>
      <w:tr w:rsidR="00493B4D" w:rsidRPr="00F84603" w14:paraId="7FF2B8B8" w14:textId="77777777" w:rsidTr="001D4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hideMark/>
          </w:tcPr>
          <w:p w14:paraId="181C89C7" w14:textId="77777777" w:rsidR="00493B4D" w:rsidRPr="00F84603" w:rsidRDefault="00493B4D" w:rsidP="001D4047">
            <w:pPr>
              <w:spacing w:before="96" w:after="96"/>
            </w:pPr>
            <w:r>
              <w:t>Ettepanekud</w:t>
            </w:r>
          </w:p>
        </w:tc>
        <w:tc>
          <w:tcPr>
            <w:tcW w:w="2375" w:type="pct"/>
            <w:hideMark/>
          </w:tcPr>
          <w:p w14:paraId="19DE4B12" w14:textId="77777777" w:rsidR="00493B4D" w:rsidRPr="00F84603" w:rsidRDefault="00493B4D" w:rsidP="001D4047">
            <w:pPr>
              <w:spacing w:before="96" w:after="96"/>
              <w:cnfStyle w:val="100000000000" w:firstRow="1" w:lastRow="0" w:firstColumn="0" w:lastColumn="0" w:oddVBand="0" w:evenVBand="0" w:oddHBand="0" w:evenHBand="0" w:firstRowFirstColumn="0" w:firstRowLastColumn="0" w:lastRowFirstColumn="0" w:lastRowLastColumn="0"/>
            </w:pPr>
            <w:r>
              <w:t>Ülevaade arvestamisest, mittearvestamisel  põhjendused</w:t>
            </w:r>
          </w:p>
        </w:tc>
      </w:tr>
      <w:tr w:rsidR="00493B4D" w:rsidRPr="00F84603" w14:paraId="6B7EDA55"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DA55A1D" w14:textId="77777777" w:rsidR="00493B4D" w:rsidRPr="00F84603" w:rsidRDefault="00493B4D" w:rsidP="001D4047">
            <w:pPr>
              <w:spacing w:after="40"/>
            </w:pPr>
            <w:r>
              <w:rPr>
                <w:b/>
                <w:bCs w:val="0"/>
              </w:rPr>
              <w:t>Terviseamet</w:t>
            </w:r>
            <w:r w:rsidRPr="00593A90">
              <w:t xml:space="preserve"> </w:t>
            </w:r>
            <w:r w:rsidRPr="00593A90">
              <w:rPr>
                <w:b/>
                <w:bCs w:val="0"/>
              </w:rPr>
              <w:t>(11.09.2025 kirjaga nr 9.3-4/25/6570-2)</w:t>
            </w:r>
          </w:p>
        </w:tc>
      </w:tr>
      <w:tr w:rsidR="00493B4D" w:rsidRPr="00F84603" w14:paraId="338E262E"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7C8AD9E0" w14:textId="77777777" w:rsidR="00493B4D" w:rsidRPr="008D5EA2" w:rsidRDefault="00493B4D" w:rsidP="001D4047">
            <w:pPr>
              <w:spacing w:after="40"/>
            </w:pPr>
            <w:r w:rsidRPr="008D5EA2">
              <w:t>1. Planeeritaval alal joogiks ja olmevajadusteks kasutatava vee kvaliteet peab vastama sotsiaalministri 24.09.2019 määruse nr 61 „Joogivee kvaliteedi- ja kontrollinõuded ja analüüsimeetodid ning tarbijale teabe esitamise nõuded“ nõuetele</w:t>
            </w:r>
          </w:p>
        </w:tc>
        <w:tc>
          <w:tcPr>
            <w:tcW w:w="2375" w:type="pct"/>
          </w:tcPr>
          <w:p w14:paraId="75D54EE6" w14:textId="77777777" w:rsidR="00493B4D" w:rsidRDefault="00493B4D" w:rsidP="001D4047">
            <w:pPr>
              <w:spacing w:after="40"/>
              <w:cnfStyle w:val="000000010000" w:firstRow="0" w:lastRow="0" w:firstColumn="0" w:lastColumn="0" w:oddVBand="0" w:evenVBand="0" w:oddHBand="0" w:evenHBand="1" w:firstRowFirstColumn="0" w:firstRowLastColumn="0" w:lastRowFirstColumn="0" w:lastRowLastColumn="0"/>
            </w:pPr>
            <w:r>
              <w:t xml:space="preserve">AS VNK saab joogivee, sh olmes kasutatava vee teistelt ettevõtetelt. Detailplaneeringuga ei kavandata oma joogiveehaarde rajamist. Määruse nr 61 § 2 lg 2 järgi peab tarnitava </w:t>
            </w:r>
            <w:r w:rsidRPr="008D5EA2">
              <w:t xml:space="preserve">joogivee vastavuse nõuetele </w:t>
            </w:r>
            <w:r>
              <w:t>tagama j</w:t>
            </w:r>
            <w:r w:rsidRPr="008D5EA2">
              <w:t>oogivee käitleja ning esitama teavet käideldava joogivee kvaliteedi kohta tarbijale ja järelevalve</w:t>
            </w:r>
            <w:r>
              <w:t>-</w:t>
            </w:r>
            <w:r w:rsidRPr="008D5EA2">
              <w:t>ametnikule.</w:t>
            </w:r>
            <w:r>
              <w:t xml:space="preserve"> AS VNK ei ole joogivee käitleja veeseaduse § 87 lg 1 mõistes.</w:t>
            </w:r>
          </w:p>
          <w:p w14:paraId="1340B662" w14:textId="77777777" w:rsidR="00493B4D" w:rsidRDefault="00493B4D" w:rsidP="001D4047">
            <w:pPr>
              <w:spacing w:after="40"/>
              <w:cnfStyle w:val="000000010000" w:firstRow="0" w:lastRow="0" w:firstColumn="0" w:lastColumn="0" w:oddVBand="0" w:evenVBand="0" w:oddHBand="0" w:evenHBand="1" w:firstRowFirstColumn="0" w:firstRowLastColumn="0" w:lastRowFirstColumn="0" w:lastRowLastColumn="0"/>
            </w:pPr>
            <w:r>
              <w:t>Detailplaneeringu tulemusena ei kavandata käitise joogivee varustuse muutust ja ka tarnitava vee kvaliteet DP-</w:t>
            </w:r>
            <w:proofErr w:type="spellStart"/>
            <w:r>
              <w:t>ga</w:t>
            </w:r>
            <w:proofErr w:type="spellEnd"/>
            <w:r>
              <w:t xml:space="preserve"> kavandatava tegevuse elluviimisega ei muutu, siis sellel määrusel puudub otsene seos avaldatava keskkonnamõjuga. Nõue märgitakse ära planeeringu seletuskirjas kohalduvate õigusaktide loetlus.</w:t>
            </w:r>
          </w:p>
          <w:p w14:paraId="34A18593" w14:textId="77777777" w:rsidR="00493B4D" w:rsidRPr="008D5EA2" w:rsidRDefault="00493B4D" w:rsidP="001D4047">
            <w:pPr>
              <w:spacing w:after="40"/>
              <w:cnfStyle w:val="000000010000" w:firstRow="0" w:lastRow="0" w:firstColumn="0" w:lastColumn="0" w:oddVBand="0" w:evenVBand="0" w:oddHBand="0" w:evenHBand="1" w:firstRowFirstColumn="0" w:firstRowLastColumn="0" w:lastRowFirstColumn="0" w:lastRowLastColumn="0"/>
            </w:pPr>
            <w:r>
              <w:t>Joogivesi kuulub ressursside hulka. Programmi ptk 6 tabelis 1 täiendatakse energia- jm ressursside hindamise teemat lausega: „</w:t>
            </w:r>
            <w:r w:rsidRPr="009D1AA5">
              <w:t xml:space="preserve">Hindamisulatusse kuulub ka ressursside </w:t>
            </w:r>
            <w:proofErr w:type="spellStart"/>
            <w:r w:rsidRPr="009D1AA5">
              <w:t>saadavus</w:t>
            </w:r>
            <w:proofErr w:type="spellEnd"/>
            <w:r w:rsidRPr="009D1AA5">
              <w:t>, hinnatavate ressursside hulka kuulub ka joogivesi.</w:t>
            </w:r>
            <w:r>
              <w:t>“</w:t>
            </w:r>
          </w:p>
        </w:tc>
      </w:tr>
      <w:tr w:rsidR="00493B4D" w:rsidRPr="00F84603" w14:paraId="793AD2E7"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6F5B7B04" w14:textId="77777777" w:rsidR="00493B4D" w:rsidRPr="008D5EA2" w:rsidRDefault="00493B4D" w:rsidP="001D4047">
            <w:pPr>
              <w:spacing w:after="40"/>
            </w:pPr>
            <w:r>
              <w:t xml:space="preserve">2. </w:t>
            </w:r>
            <w:r w:rsidRPr="008D5EA2">
              <w:t xml:space="preserve">Eesti Geoloogiateenistuse Eesti pinnase radooniriski kaardi kohaselt asub Kohtla-Järve linn kõrgendatud radooniriskiga piirkonnas ning planeeritava ala siseruumides tuleb tagada radooniohutu keskkond. Planeeringualale tööruumide rajamisel tuleb arvestada keskkonnaministri 30.07.2018 määruse nr 28 „Tööruumide õhu radoonisisalduse viitetase, õhu radoonisisalduse mõõtmise kord ja tööandja kohustused kõrgendatud radooniriskiga töökohtadel“ § 3 toodud radooni viitetaseme nõuetega, mille </w:t>
            </w:r>
            <w:r w:rsidRPr="008D5EA2">
              <w:lastRenderedPageBreak/>
              <w:t xml:space="preserve">kohaselt on õhu radoonisisalduse viitetase tööruumides 300 </w:t>
            </w:r>
            <w:proofErr w:type="spellStart"/>
            <w:r w:rsidRPr="008D5EA2">
              <w:t>Bq</w:t>
            </w:r>
            <w:proofErr w:type="spellEnd"/>
            <w:r w:rsidRPr="008D5EA2">
              <w:t>/m³, kui valdkonda reguleerivates õigusaktides ei ole sätestatud teisiti. Soovituslik on järgida EVS 840:2023 “Juhised radoonikaitse meetmete kasutamiseks uutes ja olemasolevates hoonetes“ sätestatud nõudeid.</w:t>
            </w:r>
          </w:p>
        </w:tc>
        <w:tc>
          <w:tcPr>
            <w:tcW w:w="2375" w:type="pct"/>
          </w:tcPr>
          <w:p w14:paraId="238B2D29" w14:textId="77777777" w:rsidR="00493B4D" w:rsidRDefault="00493B4D" w:rsidP="001D4047">
            <w:pPr>
              <w:spacing w:after="40"/>
              <w:cnfStyle w:val="000000100000" w:firstRow="0" w:lastRow="0" w:firstColumn="0" w:lastColumn="0" w:oddVBand="0" w:evenVBand="0" w:oddHBand="1" w:evenHBand="0" w:firstRowFirstColumn="0" w:firstRowLastColumn="0" w:lastRowFirstColumn="0" w:lastRowLastColumn="0"/>
            </w:pPr>
            <w:r>
              <w:lastRenderedPageBreak/>
              <w:t xml:space="preserve">KSH programmi ptk 3.3 „Keskkonnaseisund“ lisatakse alapeatükk radooniriski kohta märkuses esitatud koosseisus. Viidatud õigusakt </w:t>
            </w:r>
            <w:r w:rsidRPr="00E83BF9">
              <w:t>märgitakse ära planeeringu seletuskirjas kohalduvate õigusaktide loetlus</w:t>
            </w:r>
            <w:r>
              <w:t xml:space="preserve"> ja seletuskirja vastavas osas viidatakse nõuetele.</w:t>
            </w:r>
          </w:p>
          <w:p w14:paraId="2D50362B" w14:textId="77777777" w:rsidR="00493B4D" w:rsidRPr="008D5EA2" w:rsidRDefault="00493B4D" w:rsidP="001D4047">
            <w:pPr>
              <w:spacing w:after="40"/>
              <w:cnfStyle w:val="000000100000" w:firstRow="0" w:lastRow="0" w:firstColumn="0" w:lastColumn="0" w:oddVBand="0" w:evenVBand="0" w:oddHBand="1" w:evenHBand="0" w:firstRowFirstColumn="0" w:firstRowLastColumn="0" w:lastRowFirstColumn="0" w:lastRowLastColumn="0"/>
            </w:pPr>
            <w:r>
              <w:lastRenderedPageBreak/>
              <w:t>KSH programmi hindamisosa ei täiendata – keskkonnamõju hindamise eesmärk ei ole töökeskkonnas avalduvate mõjude detailne hindamine.</w:t>
            </w:r>
          </w:p>
        </w:tc>
      </w:tr>
      <w:tr w:rsidR="00493B4D" w:rsidRPr="00F84603" w14:paraId="6A4491DB"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60B9EC77" w14:textId="77777777" w:rsidR="00493B4D" w:rsidRPr="00593A90" w:rsidRDefault="00493B4D" w:rsidP="001D4047">
            <w:pPr>
              <w:spacing w:after="40"/>
            </w:pPr>
            <w:r w:rsidRPr="00593A90">
              <w:lastRenderedPageBreak/>
              <w:t>3. Kohtla-Järve Järve linnaosas on esinenud kaebusi seoses lõhnahäiringutega, seetõttu tuleb juba planeerimise etapis põhjalikult hinnata võimalikke lisanduvaid lõhnahäiringuid ning planeerida leevendavaid meetmeid</w:t>
            </w:r>
          </w:p>
        </w:tc>
        <w:tc>
          <w:tcPr>
            <w:tcW w:w="2375" w:type="pct"/>
          </w:tcPr>
          <w:p w14:paraId="57B17782" w14:textId="77777777" w:rsidR="00493B4D" w:rsidRDefault="00493B4D" w:rsidP="001D4047">
            <w:pPr>
              <w:spacing w:after="40"/>
              <w:cnfStyle w:val="000000010000" w:firstRow="0" w:lastRow="0" w:firstColumn="0" w:lastColumn="0" w:oddVBand="0" w:evenVBand="0" w:oddHBand="0" w:evenHBand="1" w:firstRowFirstColumn="0" w:firstRowLastColumn="0" w:lastRowFirstColumn="0" w:lastRowLastColumn="0"/>
            </w:pPr>
            <w:r>
              <w:t xml:space="preserve">KSH programmi ptk 6 tabelis 6.1 on välisõhu teemade juures on toodud ka lõhnaainete heite hindamine ja lõhnahäiringu tekkevõimaluse hindamine, vajadusel ka lõhna modelleerimine. </w:t>
            </w:r>
            <w:r w:rsidRPr="008D5EA2">
              <w:t>KSH programmi ptk 3.3 alajaotises välisõhu kvaliteet on toodud kokkuvõttev ülevaade Kohtla-Järve Järve linnaosa õhukvaliteedi muutustest</w:t>
            </w:r>
            <w:r>
              <w:t xml:space="preserve"> ajas, sh lõhnahäiringute esinemisest. Viidatud õhukvaliteedi uuringutes on tehtud ka käitiste, sh AS VNK lõhnaainete heite mõõdistamisi, mis võimaldab KSH aruandes tuua välja AS VNK panusest üldisesse lõhnahäiringusse olemasolevas olukorras ja planeeringuga kavandatava tegevuse järgselt. </w:t>
            </w:r>
          </w:p>
          <w:p w14:paraId="4E428DBE" w14:textId="77777777" w:rsidR="00493B4D" w:rsidRPr="008D5EA2" w:rsidRDefault="00493B4D" w:rsidP="001D4047">
            <w:pPr>
              <w:spacing w:after="40"/>
              <w:cnfStyle w:val="000000010000" w:firstRow="0" w:lastRow="0" w:firstColumn="0" w:lastColumn="0" w:oddVBand="0" w:evenVBand="0" w:oddHBand="0" w:evenHBand="1" w:firstRowFirstColumn="0" w:firstRowLastColumn="0" w:lastRowFirstColumn="0" w:lastRowLastColumn="0"/>
            </w:pPr>
            <w:r>
              <w:t xml:space="preserve">KSH programmis on teema piisavalt kajastatud, täienduste tegemine programmi ei ole vajalik. </w:t>
            </w:r>
          </w:p>
        </w:tc>
      </w:tr>
      <w:tr w:rsidR="00493B4D" w:rsidRPr="00F84603" w14:paraId="01CC9DA7"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39C649C" w14:textId="77777777" w:rsidR="00493B4D" w:rsidRPr="00236E09" w:rsidRDefault="00493B4D" w:rsidP="001D4047">
            <w:pPr>
              <w:spacing w:after="40"/>
              <w:rPr>
                <w:b/>
                <w:bCs w:val="0"/>
              </w:rPr>
            </w:pPr>
            <w:r>
              <w:rPr>
                <w:b/>
                <w:bCs w:val="0"/>
              </w:rPr>
              <w:t>Tarbijakaitse ja Tehnilise Järelevalve Amet (</w:t>
            </w:r>
            <w:r w:rsidRPr="00236E09">
              <w:rPr>
                <w:b/>
                <w:bCs w:val="0"/>
              </w:rPr>
              <w:t xml:space="preserve">17.09.2025 </w:t>
            </w:r>
            <w:r>
              <w:rPr>
                <w:b/>
                <w:bCs w:val="0"/>
              </w:rPr>
              <w:t xml:space="preserve">kirjaga </w:t>
            </w:r>
            <w:r w:rsidRPr="00236E09">
              <w:rPr>
                <w:b/>
                <w:bCs w:val="0"/>
              </w:rPr>
              <w:t>nr 16-6/25-07362-003</w:t>
            </w:r>
            <w:r>
              <w:rPr>
                <w:b/>
                <w:bCs w:val="0"/>
              </w:rPr>
              <w:t>)</w:t>
            </w:r>
          </w:p>
        </w:tc>
      </w:tr>
      <w:tr w:rsidR="00493B4D" w:rsidRPr="00F84603" w14:paraId="7DE7C57A"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21C8AF24" w14:textId="77777777" w:rsidR="00493B4D" w:rsidRPr="006A0FF6" w:rsidRDefault="00493B4D" w:rsidP="001D4047">
            <w:pPr>
              <w:spacing w:after="40"/>
            </w:pPr>
            <w:r>
              <w:t xml:space="preserve">1. </w:t>
            </w:r>
            <w:r w:rsidRPr="006B5269">
              <w:t>Vastavalt ehitusseadustiku §-le 73 tuleb raudtee kaitsevööndis ehitamiseks taotleda</w:t>
            </w:r>
            <w:r>
              <w:t xml:space="preserve"> </w:t>
            </w:r>
            <w:r w:rsidRPr="006B5269">
              <w:t>luba ka TTJA-</w:t>
            </w:r>
            <w:proofErr w:type="spellStart"/>
            <w:r w:rsidRPr="006B5269">
              <w:t>lt</w:t>
            </w:r>
            <w:proofErr w:type="spellEnd"/>
            <w:r w:rsidRPr="006B5269">
              <w:t>. Loa taotlemiseks tuleb vähemalt 30 päeva enne tööde algust TTJA-le</w:t>
            </w:r>
            <w:r>
              <w:t xml:space="preserve"> </w:t>
            </w:r>
            <w:r w:rsidRPr="006B5269">
              <w:t>aadressile info@ttja.ee saata raudteevaldaja kirjalik nõusolek, projekti seletuskiri ning</w:t>
            </w:r>
            <w:r>
              <w:t xml:space="preserve"> </w:t>
            </w:r>
            <w:r w:rsidRPr="006B5269">
              <w:t>asendiplaan.</w:t>
            </w:r>
          </w:p>
        </w:tc>
        <w:tc>
          <w:tcPr>
            <w:tcW w:w="2375" w:type="pct"/>
          </w:tcPr>
          <w:p w14:paraId="2AF3B6A6" w14:textId="77777777" w:rsidR="00493B4D" w:rsidRDefault="00493B4D" w:rsidP="001D4047">
            <w:pPr>
              <w:spacing w:after="40"/>
              <w:cnfStyle w:val="000000010000" w:firstRow="0" w:lastRow="0" w:firstColumn="0" w:lastColumn="0" w:oddVBand="0" w:evenVBand="0" w:oddHBand="0" w:evenHBand="1" w:firstRowFirstColumn="0" w:firstRowLastColumn="0" w:lastRowFirstColumn="0" w:lastRowLastColumn="0"/>
            </w:pPr>
            <w:r>
              <w:t xml:space="preserve">Tegemist on DP teemaga. </w:t>
            </w:r>
            <w:r w:rsidRPr="002B0DE3">
              <w:t>Nõue märgitakse ära planeeringu seletuskirjas kohalduvate õigusaktide loetlus</w:t>
            </w:r>
            <w:r>
              <w:t xml:space="preserve">, samuti DP realiseerimise tingimuste peatükis. </w:t>
            </w:r>
          </w:p>
          <w:p w14:paraId="62B2BC1E" w14:textId="77777777" w:rsidR="00493B4D" w:rsidRPr="006B5269" w:rsidRDefault="00493B4D" w:rsidP="001D4047">
            <w:pPr>
              <w:spacing w:after="40"/>
              <w:cnfStyle w:val="000000010000" w:firstRow="0" w:lastRow="0" w:firstColumn="0" w:lastColumn="0" w:oddVBand="0" w:evenVBand="0" w:oddHBand="0" w:evenHBand="1" w:firstRowFirstColumn="0" w:firstRowLastColumn="0" w:lastRowFirstColumn="0" w:lastRowLastColumn="0"/>
            </w:pPr>
            <w:r>
              <w:t>KSH programmi täiendamise vajadus puudub.</w:t>
            </w:r>
          </w:p>
        </w:tc>
      </w:tr>
      <w:tr w:rsidR="00493B4D" w:rsidRPr="00F84603" w14:paraId="0AAFE625"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hideMark/>
          </w:tcPr>
          <w:p w14:paraId="3F8FDFD1" w14:textId="77777777" w:rsidR="00493B4D" w:rsidRPr="00F84603" w:rsidRDefault="00493B4D" w:rsidP="001D4047">
            <w:pPr>
              <w:spacing w:after="40"/>
            </w:pPr>
            <w:r>
              <w:t xml:space="preserve">2. </w:t>
            </w:r>
            <w:r w:rsidRPr="002F7ED6">
              <w:t>Raudtee kaitsevööndis tehtavate tööde käigus ei tohi rikkuda majandus- ja</w:t>
            </w:r>
            <w:r>
              <w:t xml:space="preserve"> </w:t>
            </w:r>
            <w:r w:rsidRPr="002F7ED6">
              <w:t>taristuministri 09.11.2020 määruses nr 71 „Raudtee tehnokasutuseeskiri“ viidatud</w:t>
            </w:r>
            <w:r>
              <w:t xml:space="preserve"> </w:t>
            </w:r>
            <w:r w:rsidRPr="002F7ED6">
              <w:t>raudtee ehitusgabariidi nõudeid. Ehitusgabariit on rööbastee teljega risti oleval</w:t>
            </w:r>
            <w:r>
              <w:t xml:space="preserve"> </w:t>
            </w:r>
            <w:r w:rsidRPr="002F7ED6">
              <w:t xml:space="preserve">tasandil kujutatud piirjoon, millest sissepoole ei tohi ulatuda ükski ehitise või seadmeosa (erandiks võivad olla seadmed, mis on ette nähtud </w:t>
            </w:r>
            <w:r w:rsidRPr="002F7ED6">
              <w:lastRenderedPageBreak/>
              <w:t>vahetuks koostööks</w:t>
            </w:r>
            <w:r>
              <w:t xml:space="preserve"> </w:t>
            </w:r>
            <w:r w:rsidRPr="002F7ED6">
              <w:t>raudteeveeremiga). Raudtee kaitsevööndis ehitise ehitamisel tuleb arvestada</w:t>
            </w:r>
            <w:r>
              <w:t xml:space="preserve"> </w:t>
            </w:r>
            <w:r w:rsidRPr="002F7ED6">
              <w:t>raudteeveeremist tulenevate mõjudega, sh võimaliku vibratsiooniga. Raudtee</w:t>
            </w:r>
            <w:r>
              <w:t xml:space="preserve"> </w:t>
            </w:r>
            <w:r w:rsidRPr="002F7ED6">
              <w:t>kaitsevööndis on keelatud ohustada liiklust ja takistada nähtavust raudteel.</w:t>
            </w:r>
          </w:p>
        </w:tc>
        <w:tc>
          <w:tcPr>
            <w:tcW w:w="2375" w:type="pct"/>
          </w:tcPr>
          <w:p w14:paraId="0D8A3091" w14:textId="77777777" w:rsidR="00493B4D" w:rsidRDefault="00493B4D" w:rsidP="001D4047">
            <w:pPr>
              <w:spacing w:after="40"/>
              <w:cnfStyle w:val="000000100000" w:firstRow="0" w:lastRow="0" w:firstColumn="0" w:lastColumn="0" w:oddVBand="0" w:evenVBand="0" w:oddHBand="1" w:evenHBand="0" w:firstRowFirstColumn="0" w:firstRowLastColumn="0" w:lastRowFirstColumn="0" w:lastRowLastColumn="0"/>
            </w:pPr>
            <w:r>
              <w:lastRenderedPageBreak/>
              <w:t xml:space="preserve">Valdavalt on tegemist DP teemaga. </w:t>
            </w:r>
            <w:r w:rsidRPr="002B0DE3">
              <w:t>Nõue märgitakse ära planeeringu seletuskirjas kohalduvate õigusaktide loetlus</w:t>
            </w:r>
            <w:r>
              <w:t>, samuti DP realiseerimise tingimuste peatükis.</w:t>
            </w:r>
          </w:p>
          <w:p w14:paraId="0975E3C6" w14:textId="77777777" w:rsidR="00493B4D" w:rsidRPr="00F84603" w:rsidRDefault="00493B4D" w:rsidP="001D4047">
            <w:pPr>
              <w:spacing w:after="40"/>
              <w:cnfStyle w:val="000000100000" w:firstRow="0" w:lastRow="0" w:firstColumn="0" w:lastColumn="0" w:oddVBand="0" w:evenVBand="0" w:oddHBand="1" w:evenHBand="0" w:firstRowFirstColumn="0" w:firstRowLastColumn="0" w:lastRowFirstColumn="0" w:lastRowLastColumn="0"/>
            </w:pPr>
            <w:r>
              <w:t>KSH programmi ptk 6 tabelis 6.1 alajaotises „Müra ja vibratsiooni hindamine“ lisati lause „</w:t>
            </w:r>
            <w:r w:rsidRPr="00F05458">
              <w:t xml:space="preserve">Raudtee kaitsevööndis </w:t>
            </w:r>
            <w:r w:rsidRPr="00F05458">
              <w:lastRenderedPageBreak/>
              <w:t>ehitise ehitamisel tuleb arvestada raudteeveeremist tulenevate mõjudega, sh võimaliku vibratsiooniga.</w:t>
            </w:r>
            <w:r>
              <w:t>“</w:t>
            </w:r>
          </w:p>
        </w:tc>
      </w:tr>
      <w:tr w:rsidR="00493B4D" w:rsidRPr="00F84603" w14:paraId="376F7637"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191CCA4C" w14:textId="77777777" w:rsidR="00493B4D" w:rsidRPr="006B5269" w:rsidRDefault="00493B4D" w:rsidP="001D4047">
            <w:pPr>
              <w:spacing w:after="40"/>
            </w:pPr>
            <w:r>
              <w:lastRenderedPageBreak/>
              <w:t xml:space="preserve">3. </w:t>
            </w:r>
            <w:r w:rsidRPr="00F46E95">
              <w:t>Raudteerajatise planeerimise korral lähtuda ehitusseadustiku peatükist 10.</w:t>
            </w:r>
            <w:r>
              <w:t xml:space="preserve"> </w:t>
            </w:r>
            <w:r w:rsidRPr="00F46E95">
              <w:t>Raudteerajatise projekteerimistingimused, ehitusloa ja kasutusloa annab TTJA</w:t>
            </w:r>
          </w:p>
        </w:tc>
        <w:tc>
          <w:tcPr>
            <w:tcW w:w="2375" w:type="pct"/>
          </w:tcPr>
          <w:p w14:paraId="00898993" w14:textId="77777777" w:rsidR="00493B4D" w:rsidRPr="006B5269" w:rsidRDefault="00493B4D" w:rsidP="001D4047">
            <w:pPr>
              <w:spacing w:after="40"/>
              <w:cnfStyle w:val="000000010000" w:firstRow="0" w:lastRow="0" w:firstColumn="0" w:lastColumn="0" w:oddVBand="0" w:evenVBand="0" w:oddHBand="0" w:evenHBand="1" w:firstRowFirstColumn="0" w:firstRowLastColumn="0" w:lastRowFirstColumn="0" w:lastRowLastColumn="0"/>
            </w:pPr>
            <w:r>
              <w:t xml:space="preserve">Tegemist on DP teemaga. </w:t>
            </w:r>
            <w:r w:rsidRPr="002B0DE3">
              <w:t>Nõue märgitakse ära planeeringu seletuskirjas kohalduvate õigusaktide loetlus</w:t>
            </w:r>
            <w:r>
              <w:t>, samuti DP realiseerimise tingimuste peatükis. KSH programmi täiendamise vajadus puudub.</w:t>
            </w:r>
          </w:p>
        </w:tc>
      </w:tr>
      <w:tr w:rsidR="00493B4D" w:rsidRPr="00F84603" w14:paraId="51F8E50D"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4A16DD18" w14:textId="77777777" w:rsidR="00493B4D" w:rsidRPr="006B5269" w:rsidRDefault="00493B4D" w:rsidP="001D4047">
            <w:pPr>
              <w:spacing w:after="40"/>
            </w:pPr>
            <w:r>
              <w:t xml:space="preserve">(4) </w:t>
            </w:r>
            <w:r w:rsidRPr="00C43B4D">
              <w:t>Lisaks märgime, et ekspertrühma koosseis on täpsustatud KSH programmi ptk-s 9.1. Hetkel</w:t>
            </w:r>
            <w:r>
              <w:t xml:space="preserve"> </w:t>
            </w:r>
            <w:r w:rsidRPr="00C43B4D">
              <w:t xml:space="preserve">on leheküljel 3 viidatud </w:t>
            </w:r>
            <w:proofErr w:type="spellStart"/>
            <w:r w:rsidRPr="00C43B4D">
              <w:t>ptk-le</w:t>
            </w:r>
            <w:proofErr w:type="spellEnd"/>
            <w:r w:rsidRPr="00C43B4D">
              <w:t xml:space="preserve"> 8.1.</w:t>
            </w:r>
          </w:p>
        </w:tc>
        <w:tc>
          <w:tcPr>
            <w:tcW w:w="2375" w:type="pct"/>
          </w:tcPr>
          <w:p w14:paraId="6A2CC11A" w14:textId="77777777" w:rsidR="00493B4D" w:rsidRPr="006B5269" w:rsidRDefault="00493B4D" w:rsidP="001D4047">
            <w:pPr>
              <w:spacing w:after="40"/>
              <w:jc w:val="left"/>
              <w:cnfStyle w:val="000000100000" w:firstRow="0" w:lastRow="0" w:firstColumn="0" w:lastColumn="0" w:oddVBand="0" w:evenVBand="0" w:oddHBand="1" w:evenHBand="0" w:firstRowFirstColumn="0" w:firstRowLastColumn="0" w:lastRowFirstColumn="0" w:lastRowLastColumn="0"/>
            </w:pPr>
            <w:r>
              <w:t>Täname tähelepanu juhtimast. KSH programmis lk 3 on viide parandatud.</w:t>
            </w:r>
          </w:p>
        </w:tc>
      </w:tr>
      <w:tr w:rsidR="00493B4D" w:rsidRPr="00F84603" w14:paraId="1A80CC67"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477FF0F" w14:textId="77777777" w:rsidR="00493B4D" w:rsidRPr="00410D75" w:rsidRDefault="00493B4D" w:rsidP="001D4047">
            <w:pPr>
              <w:spacing w:after="40"/>
            </w:pPr>
            <w:r w:rsidRPr="00410D75">
              <w:rPr>
                <w:b/>
                <w:bCs w:val="0"/>
              </w:rPr>
              <w:t>Keskkonnaamet</w:t>
            </w:r>
            <w:r>
              <w:rPr>
                <w:b/>
              </w:rPr>
              <w:t xml:space="preserve"> (</w:t>
            </w:r>
            <w:r w:rsidRPr="00410D75">
              <w:rPr>
                <w:b/>
                <w:bCs w:val="0"/>
              </w:rPr>
              <w:t>18.09.2025 kirjaga nr 6-5/25/10841-4)</w:t>
            </w:r>
          </w:p>
        </w:tc>
      </w:tr>
      <w:tr w:rsidR="00493B4D" w:rsidRPr="00F84603" w14:paraId="5BE014A4"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5A2E38C0" w14:textId="77777777" w:rsidR="00493B4D" w:rsidRPr="0010121A" w:rsidRDefault="00493B4D" w:rsidP="001D4047">
            <w:pPr>
              <w:spacing w:after="40"/>
            </w:pPr>
            <w:r w:rsidRPr="0010121A">
              <w:t>1. Palume täiendada KSH programmi lk 24 lõiku „Mõju välisõhu seisundile ning selle võimalik mõju inimese tervisele, heaolule ja varale:“ lauseosaga „hinnatakse mõju ennetamise vastavust PVT kriteeriumitele“.</w:t>
            </w:r>
          </w:p>
        </w:tc>
        <w:tc>
          <w:tcPr>
            <w:tcW w:w="2375" w:type="pct"/>
          </w:tcPr>
          <w:p w14:paraId="3A43F378" w14:textId="77777777" w:rsidR="00493B4D" w:rsidRPr="0010121A" w:rsidRDefault="00493B4D" w:rsidP="001D4047">
            <w:pPr>
              <w:spacing w:after="40"/>
              <w:cnfStyle w:val="000000100000" w:firstRow="0" w:lastRow="0" w:firstColumn="0" w:lastColumn="0" w:oddVBand="0" w:evenVBand="0" w:oddHBand="1" w:evenHBand="0" w:firstRowFirstColumn="0" w:firstRowLastColumn="0" w:lastRowFirstColumn="0" w:lastRowLastColumn="0"/>
            </w:pPr>
            <w:r>
              <w:t>Ptk 6 tabelis 6.1 on välisõhu seisundi hindamise sõnastust ettepanekus toodud lauseosaga täiendatud.</w:t>
            </w:r>
          </w:p>
        </w:tc>
      </w:tr>
      <w:tr w:rsidR="00493B4D" w:rsidRPr="00F84603" w14:paraId="199EB47E"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3E84AD72" w14:textId="77777777" w:rsidR="00493B4D" w:rsidRDefault="00493B4D" w:rsidP="001D4047">
            <w:pPr>
              <w:spacing w:after="40"/>
              <w:rPr>
                <w:bCs w:val="0"/>
              </w:rPr>
            </w:pPr>
            <w:r>
              <w:t>2. Pinnaveele avaldatav mõju sõltuvus kasutatavast lahendusest.</w:t>
            </w:r>
          </w:p>
          <w:p w14:paraId="02FECE67" w14:textId="77777777" w:rsidR="00493B4D" w:rsidRDefault="00493B4D" w:rsidP="001D4047">
            <w:pPr>
              <w:spacing w:after="40"/>
              <w:rPr>
                <w:bCs w:val="0"/>
              </w:rPr>
            </w:pPr>
            <w:r w:rsidRPr="00DE54F3">
              <w:t xml:space="preserve">Juhul, kui kasutatakse teiste ettevõtete võrke, sh nende reoveepuhastid ja </w:t>
            </w:r>
            <w:proofErr w:type="spellStart"/>
            <w:r w:rsidRPr="00DE54F3">
              <w:t>väljalaskmed</w:t>
            </w:r>
            <w:proofErr w:type="spellEnd"/>
            <w:r w:rsidRPr="00DE54F3">
              <w:t>, tuleb hinnata mõju reoveepuhastile ja väljalaskme(te)le (mh vastavus kliimaministri 11.12.2023 määruses nr 80 „Ühiskanalisatsiooni juhitavate ohtlike ainete nimekiri ja piirväärtused“ toodud nõuetele) ning vastavust PVT nõuetelele (kaudne mõju).</w:t>
            </w:r>
          </w:p>
          <w:p w14:paraId="0440ECAF" w14:textId="77777777" w:rsidR="00493B4D" w:rsidRPr="0010121A" w:rsidRDefault="00493B4D" w:rsidP="001D4047">
            <w:pPr>
              <w:spacing w:after="40"/>
            </w:pPr>
            <w:r w:rsidRPr="00DE54F3">
              <w:t xml:space="preserve">Kui kavandatakse oma </w:t>
            </w:r>
            <w:proofErr w:type="spellStart"/>
            <w:r w:rsidRPr="00DE54F3">
              <w:t>väljalaskmeid</w:t>
            </w:r>
            <w:proofErr w:type="spellEnd"/>
            <w:r w:rsidRPr="00DE54F3">
              <w:t xml:space="preserve"> suubla(te)le (st otsene mõju), tuleb hinnata ettevõtte heit- ja sademevee mõju suublale, koosmõju suubla seisundile teiste väljalaskmetega ja PVT nõuetele vastavust. Hindamisel tuleb arvestada olemasolevate suubla(te) seisundi andmetega.</w:t>
            </w:r>
          </w:p>
        </w:tc>
        <w:tc>
          <w:tcPr>
            <w:tcW w:w="2375" w:type="pct"/>
          </w:tcPr>
          <w:p w14:paraId="49C4AFF2" w14:textId="77777777" w:rsidR="00493B4D" w:rsidRPr="0010121A" w:rsidRDefault="00493B4D" w:rsidP="001D4047">
            <w:pPr>
              <w:spacing w:after="40"/>
              <w:cnfStyle w:val="000000010000" w:firstRow="0" w:lastRow="0" w:firstColumn="0" w:lastColumn="0" w:oddVBand="0" w:evenVBand="0" w:oddHBand="0" w:evenHBand="1" w:firstRowFirstColumn="0" w:firstRowLastColumn="0" w:lastRowFirstColumn="0" w:lastRowLastColumn="0"/>
            </w:pPr>
            <w:r w:rsidRPr="00DE54F3">
              <w:t xml:space="preserve">Ptk 6 tabelis 6.1 on </w:t>
            </w:r>
            <w:r>
              <w:t xml:space="preserve">pinnaveele avaldatava mõju hindamise sõltuvust heitvee ja sademevee käitlemise kavandatavast lahendusest täiendavalt selgitatud, kasutades ettepaneku sõnastust. </w:t>
            </w:r>
          </w:p>
        </w:tc>
      </w:tr>
      <w:tr w:rsidR="00493B4D" w:rsidRPr="00F84603" w14:paraId="3CE19EC1"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87F0B4E" w14:textId="77777777" w:rsidR="00493B4D" w:rsidRPr="00593A90" w:rsidRDefault="00493B4D" w:rsidP="001D4047">
            <w:pPr>
              <w:spacing w:after="40"/>
              <w:rPr>
                <w:b/>
                <w:bCs w:val="0"/>
              </w:rPr>
            </w:pPr>
            <w:r w:rsidRPr="00593A90">
              <w:rPr>
                <w:b/>
                <w:bCs w:val="0"/>
              </w:rPr>
              <w:t>Päästeamet (19.09.2025 kirjaga nr 7.2-3.3/5202-1)</w:t>
            </w:r>
          </w:p>
        </w:tc>
      </w:tr>
      <w:tr w:rsidR="00493B4D" w:rsidRPr="00F84603" w14:paraId="09F7B5C5"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36942FD9" w14:textId="77777777" w:rsidR="00493B4D" w:rsidRPr="00E90733" w:rsidRDefault="00493B4D" w:rsidP="001D4047">
            <w:pPr>
              <w:spacing w:after="40"/>
            </w:pPr>
            <w:r>
              <w:lastRenderedPageBreak/>
              <w:t>1</w:t>
            </w:r>
            <w:r w:rsidRPr="00AF5EA9">
              <w:t>. Palume KemS § 32 lg 3 alusel</w:t>
            </w:r>
            <w:r>
              <w:t xml:space="preserve"> tehtavat riskide hindamist </w:t>
            </w:r>
            <w:r w:rsidRPr="00AF5EA9">
              <w:t>teha keskkonnamõju strateegiline hindamise raames ning võimalikult täpsete andmetega, sh arvesse võttes erinevad ohtlikke kemikaale, mida planeerita</w:t>
            </w:r>
            <w:r>
              <w:t xml:space="preserve">va </w:t>
            </w:r>
            <w:r w:rsidRPr="00AF5EA9">
              <w:t>tegevuse raames käitlema hakatakse.</w:t>
            </w:r>
          </w:p>
        </w:tc>
        <w:tc>
          <w:tcPr>
            <w:tcW w:w="2375" w:type="pct"/>
          </w:tcPr>
          <w:p w14:paraId="6DFC7A96" w14:textId="77777777" w:rsidR="00493B4D" w:rsidRPr="005736EE" w:rsidRDefault="00493B4D" w:rsidP="001D4047">
            <w:pPr>
              <w:spacing w:after="40"/>
              <w:cnfStyle w:val="000000010000" w:firstRow="0" w:lastRow="0" w:firstColumn="0" w:lastColumn="0" w:oddVBand="0" w:evenVBand="0" w:oddHBand="0" w:evenHBand="1" w:firstRowFirstColumn="0" w:firstRowLastColumn="0" w:lastRowFirstColumn="0" w:lastRowLastColumn="0"/>
            </w:pPr>
            <w:r w:rsidRPr="005736EE">
              <w:t xml:space="preserve">KSH programmis on kemikaaliriskide hindamine ette nähtud. </w:t>
            </w:r>
            <w:r>
              <w:t xml:space="preserve">Seejuures </w:t>
            </w:r>
            <w:r w:rsidRPr="00F0086D">
              <w:t>võ</w:t>
            </w:r>
            <w:r>
              <w:t>etakse</w:t>
            </w:r>
            <w:r w:rsidRPr="00F0086D">
              <w:t xml:space="preserve"> </w:t>
            </w:r>
            <w:r>
              <w:t xml:space="preserve">arvesse </w:t>
            </w:r>
            <w:r w:rsidRPr="00F0086D">
              <w:t>erinevad ohtlikke kemikaale, mida planeerita</w:t>
            </w:r>
            <w:r>
              <w:t>va</w:t>
            </w:r>
            <w:r w:rsidRPr="00F0086D">
              <w:t xml:space="preserve"> tegevuse raames käitlema hakatakse</w:t>
            </w:r>
            <w:r>
              <w:t xml:space="preserve">. Hinnangud antakse täpsus-astmes, mida planeerimisfaas võimaldab rakendades õigusaktides, standardites ja ka PVT juhendites toodud meetmeid vastava tegevusvaldkonna kohta. Hinnanguid ei anta KemS § 22 raames läbiviidava riskianalüüsi detailsuses (see ei ole planeerimis-projekteerimisfaasis võimalik). </w:t>
            </w:r>
          </w:p>
        </w:tc>
      </w:tr>
      <w:tr w:rsidR="00493B4D" w:rsidRPr="00F84603" w14:paraId="2BB3D6EC"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7F0501FB" w14:textId="77777777" w:rsidR="00493B4D" w:rsidRPr="00AF5EA9" w:rsidRDefault="00493B4D" w:rsidP="001D4047">
            <w:pPr>
              <w:spacing w:after="40"/>
            </w:pPr>
            <w:r>
              <w:t xml:space="preserve">(1.1) </w:t>
            </w:r>
            <w:r w:rsidRPr="00AF5EA9">
              <w:t>Dokumendis lk 4 ptk 1-s selgitate, et detailplaneeringu koostamise eesmärgiks on võimaldada olemasoleva amortiseerunud kompleksi aladel täiendavate tootmisvõimsuste rajamist, sh vaikude katalüütiline tootmine ja aromaatsete süsivesinike (benseeni ja tolueeni) tootmine ning lk 7 ptk 2.1 ja lk 9 ptk 2.2 ei ole uusi riske hinnatud.</w:t>
            </w:r>
          </w:p>
        </w:tc>
        <w:tc>
          <w:tcPr>
            <w:tcW w:w="2375" w:type="pct"/>
          </w:tcPr>
          <w:p w14:paraId="7E29FBF5" w14:textId="77777777" w:rsidR="00493B4D" w:rsidRPr="00E90733" w:rsidRDefault="00493B4D" w:rsidP="001D4047">
            <w:pPr>
              <w:spacing w:after="40"/>
              <w:cnfStyle w:val="000000100000" w:firstRow="0" w:lastRow="0" w:firstColumn="0" w:lastColumn="0" w:oddVBand="0" w:evenVBand="0" w:oddHBand="1" w:evenHBand="0" w:firstRowFirstColumn="0" w:firstRowLastColumn="0" w:lastRowFirstColumn="0" w:lastRowLastColumn="0"/>
            </w:pPr>
            <w:r>
              <w:t>Selgitamine, et tegemist on programmis sissejuhatavate peatükkidega, mis annavad ülevaate kavandatavast tegevusest. Hindamise detailid on toodud KSH programmi 6. peatükis tabelis 6.1</w:t>
            </w:r>
          </w:p>
        </w:tc>
      </w:tr>
      <w:tr w:rsidR="00493B4D" w:rsidRPr="00F84603" w14:paraId="24D5B6D2"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2D48EB62" w14:textId="77777777" w:rsidR="00493B4D" w:rsidRPr="00B046D7" w:rsidRDefault="00493B4D" w:rsidP="001D4047">
            <w:pPr>
              <w:spacing w:after="40"/>
            </w:pPr>
            <w:r w:rsidRPr="00B046D7">
              <w:t>(1.2) Palume riskide osas kajastada:</w:t>
            </w:r>
          </w:p>
          <w:p w14:paraId="617AEBA9" w14:textId="77777777" w:rsidR="00493B4D" w:rsidRPr="00B046D7" w:rsidRDefault="00493B4D" w:rsidP="001D4047">
            <w:pPr>
              <w:spacing w:after="40"/>
            </w:pPr>
            <w:r w:rsidRPr="00B046D7">
              <w:t>1. olemasolevad riskiallikad (käitised ja nende ohualad, üleujutusohtlikud alad, ohtlikud teelõigud ning raudteed ja muud sõlmed, kiirgusohtlikud objektid ja ohustatud alad) ja nende mõju hinnang olemasolevale ning sellega arvestamise põhjendus;</w:t>
            </w:r>
          </w:p>
          <w:p w14:paraId="43AFA329" w14:textId="77777777" w:rsidR="00493B4D" w:rsidRPr="00B046D7" w:rsidRDefault="00493B4D" w:rsidP="001D4047">
            <w:pPr>
              <w:spacing w:after="40"/>
            </w:pPr>
            <w:r w:rsidRPr="00B046D7">
              <w:t>2. päästetöö toimimine piirkonnas ja selle mõju hinnang;</w:t>
            </w:r>
          </w:p>
          <w:p w14:paraId="441343E5" w14:textId="77777777" w:rsidR="00493B4D" w:rsidRPr="00B046D7" w:rsidRDefault="00493B4D" w:rsidP="001D4047">
            <w:pPr>
              <w:spacing w:after="40"/>
            </w:pPr>
            <w:r w:rsidRPr="00B046D7">
              <w:t>3. planeeritavad riskiallikad ja nende mõju hinnang planeeritavale ning kaitsemeetmed, mida rakendatakse ning kas programm näeb ette tekkida või muutuva õnnetuse riskide hindamist.</w:t>
            </w:r>
          </w:p>
        </w:tc>
        <w:tc>
          <w:tcPr>
            <w:tcW w:w="2375" w:type="pct"/>
          </w:tcPr>
          <w:p w14:paraId="32208687" w14:textId="77777777" w:rsidR="00493B4D" w:rsidRPr="00E83BF9" w:rsidRDefault="00493B4D" w:rsidP="001D4047">
            <w:pPr>
              <w:spacing w:after="40"/>
              <w:cnfStyle w:val="000000010000" w:firstRow="0" w:lastRow="0" w:firstColumn="0" w:lastColumn="0" w:oddVBand="0" w:evenVBand="0" w:oddHBand="0" w:evenHBand="1" w:firstRowFirstColumn="0" w:firstRowLastColumn="0" w:lastRowFirstColumn="0" w:lastRowLastColumn="0"/>
            </w:pPr>
            <w:r>
              <w:t>KSH programmi ptk 6 tabelis 6.1 on riskide hindamise alajaotises täiendavalt lisatud: „</w:t>
            </w:r>
            <w:r w:rsidRPr="00341739">
              <w:t>KSH aruande</w:t>
            </w:r>
            <w:r>
              <w:t>s</w:t>
            </w:r>
            <w:r w:rsidRPr="00341739">
              <w:t xml:space="preserve"> riskide hindamine käsitleb mh teemasid: 1. </w:t>
            </w:r>
            <w:r>
              <w:t>/vastavalt ettepaneku sõnastusele/</w:t>
            </w:r>
            <w:r w:rsidRPr="00341739">
              <w:t xml:space="preserve">; 2. </w:t>
            </w:r>
            <w:r>
              <w:t>/vastavalt ettepaneku sõnastusele/</w:t>
            </w:r>
            <w:r w:rsidRPr="00341739">
              <w:t xml:space="preserve">; 3. </w:t>
            </w:r>
            <w:r>
              <w:t xml:space="preserve">/täiendatud sõnastuses/ </w:t>
            </w:r>
            <w:r w:rsidRPr="00341739">
              <w:t xml:space="preserve">planeeritavad riskiallikad, nende mõju hinnang olemasolevatele ehitistele-tegevustele ning planeeritavatele, vajalikud kaitsemeetmed, sh sisemise doominoefekti vältimiseks. Hinnatakse tekkivate või muutuvate riskide taseme olulisust võrreldes </w:t>
            </w:r>
            <w:r>
              <w:t>olemasole</w:t>
            </w:r>
            <w:r w:rsidRPr="00341739">
              <w:t>vate riskitasemetega.</w:t>
            </w:r>
          </w:p>
        </w:tc>
      </w:tr>
      <w:tr w:rsidR="00493B4D" w:rsidRPr="00F84603" w14:paraId="33E2295F"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35D35E99" w14:textId="77777777" w:rsidR="00493B4D" w:rsidRPr="00593A90" w:rsidRDefault="00493B4D" w:rsidP="001D4047">
            <w:pPr>
              <w:spacing w:after="40"/>
              <w:jc w:val="left"/>
            </w:pPr>
            <w:r>
              <w:t>(1</w:t>
            </w:r>
            <w:r w:rsidRPr="00B046D7">
              <w:t>.3) Juhised riskide hindamiseks on leitavad Päästeameti kodulehel: https://www.rescue.ee/et/kemikaaliseaduse-32-juhendid.</w:t>
            </w:r>
          </w:p>
        </w:tc>
        <w:tc>
          <w:tcPr>
            <w:tcW w:w="2375" w:type="pct"/>
          </w:tcPr>
          <w:p w14:paraId="08E0D1ED" w14:textId="77777777" w:rsidR="00493B4D" w:rsidRPr="00593A90" w:rsidRDefault="00493B4D" w:rsidP="001D4047">
            <w:pPr>
              <w:spacing w:after="40"/>
              <w:cnfStyle w:val="000000100000" w:firstRow="0" w:lastRow="0" w:firstColumn="0" w:lastColumn="0" w:oddVBand="0" w:evenVBand="0" w:oddHBand="1" w:evenHBand="0" w:firstRowFirstColumn="0" w:firstRowLastColumn="0" w:lastRowFirstColumn="0" w:lastRowLastColumn="0"/>
            </w:pPr>
            <w:r>
              <w:t xml:space="preserve">Päästeameti KemS § 32 rakendamise juhendile ja ka teistele juhenditele on KSH programmi tabelis 6.1 viidatud. </w:t>
            </w:r>
          </w:p>
        </w:tc>
      </w:tr>
      <w:tr w:rsidR="00493B4D" w:rsidRPr="00F84603" w14:paraId="6267D772"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0659E4CD" w14:textId="77777777" w:rsidR="00493B4D" w:rsidRPr="00593A90" w:rsidRDefault="00493B4D" w:rsidP="001D4047">
            <w:pPr>
              <w:spacing w:after="40"/>
            </w:pPr>
            <w:r w:rsidRPr="00E83BF9">
              <w:lastRenderedPageBreak/>
              <w:t>2. Planeeringualale on päästeautodega ainult üks ligipääsutee, territooriumile võiks olla tagatud vähemalt kaks vastassuunas olevat ligipääsuteed.</w:t>
            </w:r>
          </w:p>
        </w:tc>
        <w:tc>
          <w:tcPr>
            <w:tcW w:w="2375" w:type="pct"/>
          </w:tcPr>
          <w:p w14:paraId="41AB444B" w14:textId="77777777" w:rsidR="00493B4D" w:rsidRPr="00593A90" w:rsidRDefault="00493B4D" w:rsidP="001D4047">
            <w:pPr>
              <w:spacing w:after="40"/>
              <w:cnfStyle w:val="000000010000" w:firstRow="0" w:lastRow="0" w:firstColumn="0" w:lastColumn="0" w:oddVBand="0" w:evenVBand="0" w:oddHBand="0" w:evenHBand="1" w:firstRowFirstColumn="0" w:firstRowLastColumn="0" w:lastRowFirstColumn="0" w:lastRowLastColumn="0"/>
            </w:pPr>
            <w:r>
              <w:t xml:space="preserve">Teise ligipääsutee rajamise võimalusi kaalutakse planeeringu-lahenduse koostamise käigus. Mõju hindamisel käsitletakse seda nn tehnilise variandina. </w:t>
            </w:r>
          </w:p>
        </w:tc>
      </w:tr>
      <w:tr w:rsidR="00493B4D" w:rsidRPr="00F84603" w14:paraId="410E7F1B" w14:textId="77777777" w:rsidTr="001D4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4C12753" w14:textId="77777777" w:rsidR="00493B4D" w:rsidRPr="00537C69" w:rsidRDefault="00493B4D" w:rsidP="001D4047">
            <w:pPr>
              <w:spacing w:after="40"/>
              <w:rPr>
                <w:b/>
                <w:bCs w:val="0"/>
              </w:rPr>
            </w:pPr>
            <w:r w:rsidRPr="00537C69">
              <w:rPr>
                <w:b/>
                <w:bCs w:val="0"/>
              </w:rPr>
              <w:t>Maa- ja Ruumiamet, e-kiri 22.09.2025</w:t>
            </w:r>
          </w:p>
        </w:tc>
      </w:tr>
      <w:tr w:rsidR="00493B4D" w:rsidRPr="00F84603" w14:paraId="79743FEE" w14:textId="77777777" w:rsidTr="001D40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pct"/>
          </w:tcPr>
          <w:p w14:paraId="642F147C" w14:textId="77777777" w:rsidR="00493B4D" w:rsidRPr="00A147CF" w:rsidRDefault="00493B4D" w:rsidP="001D4047">
            <w:pPr>
              <w:spacing w:after="40"/>
            </w:pPr>
            <w:r w:rsidRPr="00A147CF">
              <w:t>Maa- ja Ruumiameti KOV planeeringute heakskiidu osakonnal puuduvad ettepanekud esitatud dokumentide osas. Siiski väike tähelepanu juhtimine - eskiisjoonisel on märgitud planeeritud raudteeharu, kuid KSH programmi seletuskirjas pole seda mainitud.</w:t>
            </w:r>
          </w:p>
        </w:tc>
        <w:tc>
          <w:tcPr>
            <w:tcW w:w="2375" w:type="pct"/>
          </w:tcPr>
          <w:p w14:paraId="7D31C58A" w14:textId="77777777" w:rsidR="00493B4D" w:rsidRPr="002B0DE3" w:rsidRDefault="00493B4D" w:rsidP="001D4047">
            <w:pPr>
              <w:spacing w:after="40"/>
              <w:cnfStyle w:val="000000010000" w:firstRow="0" w:lastRow="0" w:firstColumn="0" w:lastColumn="0" w:oddVBand="0" w:evenVBand="0" w:oddHBand="0" w:evenHBand="1" w:firstRowFirstColumn="0" w:firstRowLastColumn="0" w:lastRowFirstColumn="0" w:lastRowLastColumn="0"/>
            </w:pPr>
            <w:r w:rsidRPr="002B0DE3">
              <w:t>Ptk 2.2 lisati “AS VNK hallatavale territooriumile rajatakse täiendav raudteeharu koos laadimisestakaadiga.”</w:t>
            </w:r>
          </w:p>
        </w:tc>
      </w:tr>
    </w:tbl>
    <w:p w14:paraId="7BC596F3" w14:textId="77777777" w:rsidR="00493B4D" w:rsidRDefault="00493B4D" w:rsidP="00493B4D">
      <w:pPr>
        <w:pStyle w:val="BodyText"/>
      </w:pPr>
    </w:p>
    <w:p w14:paraId="706B9E4D" w14:textId="77777777" w:rsidR="008A2FA9" w:rsidRDefault="008A2FA9"/>
    <w:sectPr w:rsidR="008A2FA9" w:rsidSect="00493B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rimson Pro">
    <w:altName w:val="Calibri"/>
    <w:charset w:val="00"/>
    <w:family w:val="auto"/>
    <w:pitch w:val="variable"/>
    <w:sig w:usb0="A00000FF" w:usb1="5000E04B" w:usb2="00000000" w:usb3="00000000" w:csb0="00000193" w:csb1="00000000"/>
  </w:font>
  <w:font w:name="Aptos Display">
    <w:charset w:val="00"/>
    <w:family w:val="swiss"/>
    <w:pitch w:val="variable"/>
    <w:sig w:usb0="20000287" w:usb1="00000003" w:usb2="00000000" w:usb3="00000000" w:csb0="0000019F" w:csb1="00000000"/>
  </w:font>
  <w:font w:name="Alegreya Sans">
    <w:altName w:val="Calibri"/>
    <w:charset w:val="BA"/>
    <w:family w:val="auto"/>
    <w:pitch w:val="variable"/>
    <w:sig w:usb0="6000028F"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4D"/>
    <w:rsid w:val="002F6A10"/>
    <w:rsid w:val="00493B4D"/>
    <w:rsid w:val="006616F9"/>
    <w:rsid w:val="008A2FA9"/>
    <w:rsid w:val="009C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86AF"/>
  <w15:chartTrackingRefBased/>
  <w15:docId w15:val="{35C7FA73-6D2A-4A03-A1CF-1202C537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B4D"/>
    <w:pPr>
      <w:spacing w:after="0" w:line="240" w:lineRule="auto"/>
      <w:jc w:val="both"/>
    </w:pPr>
    <w:rPr>
      <w:rFonts w:ascii="Crimson Pro" w:hAnsi="Crimson Pro"/>
      <w:kern w:val="0"/>
      <w:szCs w:val="20"/>
      <w:lang w:val="et-EE"/>
    </w:rPr>
  </w:style>
  <w:style w:type="paragraph" w:styleId="Heading1">
    <w:name w:val="heading 1"/>
    <w:basedOn w:val="Normal"/>
    <w:next w:val="Normal"/>
    <w:link w:val="Heading1Char"/>
    <w:uiPriority w:val="9"/>
    <w:qFormat/>
    <w:rsid w:val="00493B4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93B4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93B4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93B4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rPr>
  </w:style>
  <w:style w:type="paragraph" w:styleId="Heading5">
    <w:name w:val="heading 5"/>
    <w:basedOn w:val="Normal"/>
    <w:next w:val="Normal"/>
    <w:link w:val="Heading5Char"/>
    <w:uiPriority w:val="9"/>
    <w:semiHidden/>
    <w:unhideWhenUsed/>
    <w:qFormat/>
    <w:rsid w:val="00493B4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rPr>
  </w:style>
  <w:style w:type="paragraph" w:styleId="Heading6">
    <w:name w:val="heading 6"/>
    <w:basedOn w:val="Normal"/>
    <w:next w:val="Normal"/>
    <w:link w:val="Heading6Char"/>
    <w:uiPriority w:val="9"/>
    <w:semiHidden/>
    <w:unhideWhenUsed/>
    <w:qFormat/>
    <w:rsid w:val="00493B4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rPr>
  </w:style>
  <w:style w:type="paragraph" w:styleId="Heading7">
    <w:name w:val="heading 7"/>
    <w:basedOn w:val="Normal"/>
    <w:next w:val="Normal"/>
    <w:link w:val="Heading7Char"/>
    <w:uiPriority w:val="9"/>
    <w:semiHidden/>
    <w:unhideWhenUsed/>
    <w:qFormat/>
    <w:rsid w:val="00493B4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rPr>
  </w:style>
  <w:style w:type="paragraph" w:styleId="Heading8">
    <w:name w:val="heading 8"/>
    <w:basedOn w:val="Normal"/>
    <w:next w:val="Normal"/>
    <w:link w:val="Heading8Char"/>
    <w:uiPriority w:val="9"/>
    <w:semiHidden/>
    <w:unhideWhenUsed/>
    <w:qFormat/>
    <w:rsid w:val="00493B4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rPr>
  </w:style>
  <w:style w:type="paragraph" w:styleId="Heading9">
    <w:name w:val="heading 9"/>
    <w:basedOn w:val="Normal"/>
    <w:next w:val="Normal"/>
    <w:link w:val="Heading9Char"/>
    <w:uiPriority w:val="9"/>
    <w:semiHidden/>
    <w:unhideWhenUsed/>
    <w:qFormat/>
    <w:rsid w:val="00493B4D"/>
    <w:pPr>
      <w:keepNext/>
      <w:keepLines/>
      <w:spacing w:line="278" w:lineRule="auto"/>
      <w:jc w:val="left"/>
      <w:outlineLvl w:val="8"/>
    </w:pPr>
    <w:rPr>
      <w:rFonts w:asciiTheme="minorHAnsi" w:eastAsiaTheme="majorEastAsia" w:hAnsiTheme="minorHAnsi" w:cstheme="majorBidi"/>
      <w:color w:val="272727" w:themeColor="text1" w:themeTint="D8"/>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4D"/>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493B4D"/>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493B4D"/>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493B4D"/>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493B4D"/>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493B4D"/>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493B4D"/>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493B4D"/>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493B4D"/>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493B4D"/>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4D"/>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493B4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93B4D"/>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493B4D"/>
    <w:pPr>
      <w:spacing w:before="160" w:after="160" w:line="278" w:lineRule="auto"/>
      <w:jc w:val="center"/>
    </w:pPr>
    <w:rPr>
      <w:rFonts w:asciiTheme="minorHAnsi" w:hAnsiTheme="minorHAnsi"/>
      <w:i/>
      <w:iCs/>
      <w:color w:val="404040" w:themeColor="text1" w:themeTint="BF"/>
      <w:kern w:val="2"/>
      <w:szCs w:val="24"/>
    </w:rPr>
  </w:style>
  <w:style w:type="character" w:customStyle="1" w:styleId="QuoteChar">
    <w:name w:val="Quote Char"/>
    <w:basedOn w:val="DefaultParagraphFont"/>
    <w:link w:val="Quote"/>
    <w:uiPriority w:val="29"/>
    <w:rsid w:val="00493B4D"/>
    <w:rPr>
      <w:i/>
      <w:iCs/>
      <w:color w:val="404040" w:themeColor="text1" w:themeTint="BF"/>
      <w:lang w:val="et-EE"/>
    </w:rPr>
  </w:style>
  <w:style w:type="paragraph" w:styleId="ListParagraph">
    <w:name w:val="List Paragraph"/>
    <w:basedOn w:val="Normal"/>
    <w:uiPriority w:val="34"/>
    <w:qFormat/>
    <w:rsid w:val="00493B4D"/>
    <w:pPr>
      <w:spacing w:after="160" w:line="278" w:lineRule="auto"/>
      <w:ind w:left="720"/>
      <w:contextualSpacing/>
      <w:jc w:val="left"/>
    </w:pPr>
    <w:rPr>
      <w:rFonts w:asciiTheme="minorHAnsi" w:hAnsiTheme="minorHAnsi"/>
      <w:kern w:val="2"/>
      <w:szCs w:val="24"/>
    </w:rPr>
  </w:style>
  <w:style w:type="character" w:styleId="IntenseEmphasis">
    <w:name w:val="Intense Emphasis"/>
    <w:basedOn w:val="DefaultParagraphFont"/>
    <w:uiPriority w:val="21"/>
    <w:qFormat/>
    <w:rsid w:val="00493B4D"/>
    <w:rPr>
      <w:i/>
      <w:iCs/>
      <w:color w:val="0F4761" w:themeColor="accent1" w:themeShade="BF"/>
    </w:rPr>
  </w:style>
  <w:style w:type="paragraph" w:styleId="IntenseQuote">
    <w:name w:val="Intense Quote"/>
    <w:basedOn w:val="Normal"/>
    <w:next w:val="Normal"/>
    <w:link w:val="IntenseQuoteChar"/>
    <w:uiPriority w:val="30"/>
    <w:qFormat/>
    <w:rsid w:val="00493B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rPr>
  </w:style>
  <w:style w:type="character" w:customStyle="1" w:styleId="IntenseQuoteChar">
    <w:name w:val="Intense Quote Char"/>
    <w:basedOn w:val="DefaultParagraphFont"/>
    <w:link w:val="IntenseQuote"/>
    <w:uiPriority w:val="30"/>
    <w:rsid w:val="00493B4D"/>
    <w:rPr>
      <w:i/>
      <w:iCs/>
      <w:color w:val="0F4761" w:themeColor="accent1" w:themeShade="BF"/>
      <w:lang w:val="et-EE"/>
    </w:rPr>
  </w:style>
  <w:style w:type="character" w:styleId="IntenseReference">
    <w:name w:val="Intense Reference"/>
    <w:basedOn w:val="DefaultParagraphFont"/>
    <w:uiPriority w:val="32"/>
    <w:qFormat/>
    <w:rsid w:val="00493B4D"/>
    <w:rPr>
      <w:b/>
      <w:bCs/>
      <w:smallCaps/>
      <w:color w:val="0F4761" w:themeColor="accent1" w:themeShade="BF"/>
      <w:spacing w:val="5"/>
    </w:rPr>
  </w:style>
  <w:style w:type="paragraph" w:styleId="BodyText">
    <w:name w:val="Body Text"/>
    <w:basedOn w:val="Normal"/>
    <w:link w:val="BodyTextChar"/>
    <w:uiPriority w:val="99"/>
    <w:unhideWhenUsed/>
    <w:qFormat/>
    <w:rsid w:val="00493B4D"/>
    <w:pPr>
      <w:spacing w:after="120"/>
    </w:pPr>
  </w:style>
  <w:style w:type="character" w:customStyle="1" w:styleId="BodyTextChar">
    <w:name w:val="Body Text Char"/>
    <w:basedOn w:val="DefaultParagraphFont"/>
    <w:link w:val="BodyText"/>
    <w:uiPriority w:val="99"/>
    <w:rsid w:val="00493B4D"/>
    <w:rPr>
      <w:rFonts w:ascii="Crimson Pro" w:hAnsi="Crimson Pro"/>
      <w:kern w:val="0"/>
      <w:szCs w:val="20"/>
      <w:lang w:val="et-EE"/>
    </w:rPr>
  </w:style>
  <w:style w:type="table" w:customStyle="1" w:styleId="TabelPunane7">
    <w:name w:val="Tabel_Punane7"/>
    <w:basedOn w:val="TableNormal"/>
    <w:uiPriority w:val="99"/>
    <w:qFormat/>
    <w:rsid w:val="00493B4D"/>
    <w:pPr>
      <w:spacing w:after="0" w:line="240" w:lineRule="auto"/>
    </w:pPr>
    <w:rPr>
      <w:rFonts w:ascii="Crimson Pro" w:eastAsiaTheme="minorEastAsia" w:hAnsi="Crimson Pro"/>
      <w:kern w:val="0"/>
      <w:szCs w:val="20"/>
      <w14:ligatures w14:val="none"/>
    </w:rPr>
    <w:tblPr>
      <w:tblStyleRowBandSize w:val="1"/>
      <w:tblStyleColBandSize w:val="1"/>
      <w:tblBorders>
        <w:insideH w:val="single" w:sz="2" w:space="0" w:color="A6A6A6" w:themeColor="background1" w:themeShade="A6"/>
        <w:insideV w:val="single" w:sz="2" w:space="0" w:color="A6A6A6" w:themeColor="background1" w:themeShade="A6"/>
      </w:tblBorders>
      <w:tblCellMar>
        <w:top w:w="28" w:type="dxa"/>
        <w:left w:w="28" w:type="dxa"/>
        <w:bottom w:w="28" w:type="dxa"/>
        <w:right w:w="28" w:type="dxa"/>
      </w:tblCellMar>
    </w:tblPr>
    <w:tcPr>
      <w:shd w:val="clear" w:color="auto" w:fill="auto"/>
      <w:tcMar>
        <w:left w:w="113" w:type="dxa"/>
        <w:right w:w="113" w:type="dxa"/>
      </w:tcMar>
    </w:tcPr>
    <w:tblStylePr w:type="firstRow">
      <w:pPr>
        <w:wordWrap/>
        <w:spacing w:beforeLines="40" w:before="40" w:beforeAutospacing="0" w:afterLines="40" w:after="40" w:afterAutospacing="0" w:line="240" w:lineRule="auto"/>
        <w:jc w:val="left"/>
      </w:pPr>
      <w:rPr>
        <w:rFonts w:ascii="Alegreya Sans" w:hAnsi="Alegreya Sans"/>
        <w:b/>
        <w:bCs/>
        <w:color w:val="FFFFFF" w:themeColor="background1"/>
        <w:sz w:val="28"/>
      </w:rPr>
      <w:tblPr/>
      <w:tcPr>
        <w:shd w:val="clear" w:color="auto" w:fill="C00000"/>
      </w:tcPr>
    </w:tblStylePr>
    <w:tblStylePr w:type="lastRow">
      <w:pPr>
        <w:spacing w:before="0" w:after="0" w:line="240" w:lineRule="auto"/>
      </w:pPr>
      <w:rPr>
        <w:b w:val="0"/>
        <w:bCs/>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cBorders>
        <w:shd w:val="clear" w:color="auto" w:fill="auto"/>
      </w:tcPr>
    </w:tblStylePr>
    <w:tblStylePr w:type="firstCol">
      <w:rPr>
        <w:b w:val="0"/>
        <w:bCs/>
      </w:rPr>
      <w:tblPr/>
      <w:tcPr>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cBorders>
        <w:shd w:val="clear" w:color="auto" w:fill="auto"/>
      </w:tcPr>
    </w:tblStylePr>
    <w:tblStylePr w:type="lastCol">
      <w:rPr>
        <w:b w:val="0"/>
        <w:bCs/>
      </w:rPr>
      <w:tblPr/>
      <w:tcPr>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cBorders>
        <w:shd w:val="clear" w:color="auto" w:fill="auto"/>
      </w:tcPr>
    </w:tblStylePr>
    <w:tblStylePr w:type="band1Vert">
      <w:tblPr/>
      <w:tcPr>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cBorders>
        <w:shd w:val="clear" w:color="auto" w:fill="auto"/>
      </w:tcPr>
    </w:tblStylePr>
    <w:tblStylePr w:type="band2Vert">
      <w:tblPr/>
      <w:tcPr>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cBorders>
        <w:shd w:val="clear" w:color="auto" w:fill="auto"/>
      </w:tcPr>
    </w:tblStylePr>
    <w:tblStylePr w:type="band1Horz">
      <w:tblPr/>
      <w:tcPr>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cBorders>
        <w:shd w:val="clear" w:color="auto" w:fill="auto"/>
      </w:tcPr>
    </w:tblStylePr>
    <w:tblStylePr w:type="band2Horz">
      <w:tblPr/>
      <w:tcPr>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1493</Words>
  <Characters>8513</Characters>
  <Application>Microsoft Office Word</Application>
  <DocSecurity>0</DocSecurity>
  <Lines>70</Lines>
  <Paragraphs>19</Paragraphs>
  <ScaleCrop>false</ScaleCrop>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 Ruut</dc:creator>
  <cp:keywords/>
  <dc:description/>
  <cp:lastModifiedBy>Juhan Ruut</cp:lastModifiedBy>
  <cp:revision>1</cp:revision>
  <dcterms:created xsi:type="dcterms:W3CDTF">2025-11-13T13:44:00Z</dcterms:created>
  <dcterms:modified xsi:type="dcterms:W3CDTF">2025-11-13T13:46:00Z</dcterms:modified>
</cp:coreProperties>
</file>